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0556E" w:rsidRDefault="0051351C" w:rsidP="00E66FAB">
      <w:pPr>
        <w:jc w:val="center"/>
        <w:rPr>
          <w:b/>
        </w:rPr>
      </w:pPr>
      <w:r>
        <w:rPr>
          <w:b/>
        </w:rPr>
        <w:t xml:space="preserve">RECLAMATION DISTRICT NO. </w:t>
      </w:r>
      <w:r w:rsidR="003117B3">
        <w:rPr>
          <w:b/>
        </w:rPr>
        <w:t>2035</w:t>
      </w:r>
    </w:p>
    <w:p w:rsidR="0051351C" w:rsidRDefault="0051351C" w:rsidP="00E66FAB">
      <w:pPr>
        <w:jc w:val="center"/>
        <w:rPr>
          <w:b/>
        </w:rPr>
      </w:pPr>
    </w:p>
    <w:p w:rsidR="0051351C" w:rsidRDefault="0051351C" w:rsidP="00E66FAB">
      <w:pPr>
        <w:jc w:val="center"/>
        <w:rPr>
          <w:b/>
        </w:rPr>
      </w:pPr>
      <w:r>
        <w:rPr>
          <w:b/>
        </w:rPr>
        <w:t>RESOLUTION 20</w:t>
      </w:r>
      <w:r w:rsidR="00232672">
        <w:rPr>
          <w:b/>
        </w:rPr>
        <w:t>2</w:t>
      </w:r>
      <w:r w:rsidR="00CC7AED">
        <w:rPr>
          <w:b/>
        </w:rPr>
        <w:t>4</w:t>
      </w:r>
      <w:r>
        <w:rPr>
          <w:b/>
        </w:rPr>
        <w:t>-</w:t>
      </w:r>
      <w:r w:rsidR="00CC7AED">
        <w:rPr>
          <w:b/>
        </w:rPr>
        <w:t>____</w:t>
      </w:r>
    </w:p>
    <w:p w:rsidR="0051351C" w:rsidRDefault="0051351C" w:rsidP="00E66FAB">
      <w:pPr>
        <w:jc w:val="center"/>
        <w:rPr>
          <w:b/>
        </w:rPr>
      </w:pPr>
    </w:p>
    <w:p w:rsidR="0051351C" w:rsidRDefault="0051351C" w:rsidP="00E66FAB">
      <w:pPr>
        <w:jc w:val="center"/>
        <w:rPr>
          <w:b/>
        </w:rPr>
      </w:pPr>
      <w:r>
        <w:rPr>
          <w:b/>
        </w:rPr>
        <w:t xml:space="preserve">RESOLUTION ADOPTING </w:t>
      </w:r>
      <w:r w:rsidR="00CC7AED">
        <w:rPr>
          <w:b/>
        </w:rPr>
        <w:t>NOTICE OF DETERMINATION FOR EROSION CONTROL PROJECT FOR JOINT SACRAMENTO RIVER INTAKE</w:t>
      </w:r>
    </w:p>
    <w:p w:rsidR="0051351C" w:rsidRDefault="0051351C" w:rsidP="00E66FAB">
      <w:pPr>
        <w:jc w:val="center"/>
        <w:rPr>
          <w:b/>
        </w:rPr>
      </w:pPr>
    </w:p>
    <w:p w:rsidR="00E72914" w:rsidRDefault="00E66FAB" w:rsidP="00E66FAB">
      <w:pPr>
        <w:spacing w:after="240"/>
        <w:ind w:firstLine="720"/>
        <w:rPr>
          <w:szCs w:val="24"/>
        </w:rPr>
      </w:pPr>
      <w:r w:rsidRPr="00DB56A5">
        <w:rPr>
          <w:b/>
          <w:szCs w:val="24"/>
        </w:rPr>
        <w:t>WHEREAS</w:t>
      </w:r>
      <w:r w:rsidRPr="008E4106">
        <w:rPr>
          <w:szCs w:val="24"/>
        </w:rPr>
        <w:t xml:space="preserve">, </w:t>
      </w:r>
      <w:r w:rsidR="00E72914">
        <w:rPr>
          <w:szCs w:val="24"/>
        </w:rPr>
        <w:t>in 2007, prior to formation of the Woodland-Davis Clean Water Agency (“Agency”), the City of Davis certified the Davis-Woodland Water Supply Project Final Environmental Impact Report (“EIR”) pursuant to the California Environmental Quality Act (“CEQA”) and CEQA Guidelines, and the cities of Davis and Woodland approved the Davis-Woodland Water Supply Project (“Project”);</w:t>
      </w:r>
    </w:p>
    <w:p w:rsidR="00E72914" w:rsidRDefault="00E72914" w:rsidP="00E66FAB">
      <w:pPr>
        <w:spacing w:after="240"/>
        <w:ind w:firstLine="720"/>
        <w:rPr>
          <w:szCs w:val="24"/>
        </w:rPr>
      </w:pPr>
      <w:r>
        <w:rPr>
          <w:b/>
          <w:bCs/>
          <w:szCs w:val="24"/>
        </w:rPr>
        <w:t>WHEREAS</w:t>
      </w:r>
      <w:r>
        <w:rPr>
          <w:szCs w:val="24"/>
        </w:rPr>
        <w:t>, the cities of Davis and Woodland approved a Joint Powers Agreement forming the Agency in 2009, in order for the Agency to pursue the development of the Project and, pursuant to the Joint Powers Agreement, the Agency has assumed the CEQA lead agency role for the Project and, since then, the Agency Board has adopted several final EIR addenda;</w:t>
      </w:r>
    </w:p>
    <w:p w:rsidR="00E72914" w:rsidRDefault="00E72914" w:rsidP="00E66FAB">
      <w:pPr>
        <w:spacing w:after="240"/>
        <w:ind w:firstLine="720"/>
        <w:rPr>
          <w:szCs w:val="24"/>
        </w:rPr>
      </w:pPr>
      <w:r>
        <w:rPr>
          <w:b/>
          <w:bCs/>
          <w:szCs w:val="24"/>
        </w:rPr>
        <w:t>WHEREAS</w:t>
      </w:r>
      <w:r>
        <w:rPr>
          <w:szCs w:val="24"/>
        </w:rPr>
        <w:t>, for the raw water intake component of the Project, the Agency cooperated with Reclamation District 2035 (“RD 2035”) on the construction of a new joint intake and fish screen facility (the “Intake”), with RD 2035 as the lead agency for that work;</w:t>
      </w:r>
    </w:p>
    <w:p w:rsidR="00E72914" w:rsidRDefault="00E72914" w:rsidP="00E66FAB">
      <w:pPr>
        <w:spacing w:after="240"/>
        <w:ind w:firstLine="720"/>
        <w:rPr>
          <w:szCs w:val="24"/>
        </w:rPr>
      </w:pPr>
      <w:r>
        <w:rPr>
          <w:b/>
          <w:bCs/>
          <w:szCs w:val="24"/>
        </w:rPr>
        <w:t>WHEREAS</w:t>
      </w:r>
      <w:r>
        <w:rPr>
          <w:szCs w:val="24"/>
        </w:rPr>
        <w:t>, in 2012, RD 2035 adopted a CEQA Initial Study-Mitigated Negative Declaration/Environmental Assessment (“IS/EA”) for the Intake and, during the course of construction, RD 2035 adopted two IS/EA addenda;</w:t>
      </w:r>
    </w:p>
    <w:p w:rsidR="00E72914" w:rsidRDefault="00E72914" w:rsidP="00E66FAB">
      <w:pPr>
        <w:spacing w:after="240"/>
        <w:ind w:firstLine="720"/>
        <w:rPr>
          <w:szCs w:val="24"/>
        </w:rPr>
      </w:pPr>
      <w:r>
        <w:rPr>
          <w:b/>
          <w:bCs/>
          <w:szCs w:val="24"/>
        </w:rPr>
        <w:t>WHEREAS</w:t>
      </w:r>
      <w:r>
        <w:rPr>
          <w:szCs w:val="24"/>
        </w:rPr>
        <w:t>, following Intake construction, the Agency assumed the primary responsibility to operate, maintain, and manage the common facilities at the Intake;</w:t>
      </w:r>
    </w:p>
    <w:p w:rsidR="00E72914" w:rsidRDefault="00E72914" w:rsidP="00E66FAB">
      <w:pPr>
        <w:spacing w:after="240"/>
        <w:ind w:firstLine="720"/>
        <w:rPr>
          <w:szCs w:val="24"/>
        </w:rPr>
      </w:pPr>
      <w:r>
        <w:rPr>
          <w:b/>
          <w:bCs/>
          <w:szCs w:val="24"/>
        </w:rPr>
        <w:t>WHEREAS</w:t>
      </w:r>
      <w:r>
        <w:rPr>
          <w:szCs w:val="24"/>
        </w:rPr>
        <w:t>, since completion of construction, inspections of the Intake have found erosion damage on the river bank downstream from the Intake that requires immediate repair and the Agency therefore prepared plans for performance of that erosion control work;</w:t>
      </w:r>
    </w:p>
    <w:p w:rsidR="004248CD" w:rsidRDefault="004248CD" w:rsidP="00E66FAB">
      <w:pPr>
        <w:spacing w:after="240"/>
        <w:ind w:firstLine="720"/>
        <w:rPr>
          <w:szCs w:val="24"/>
        </w:rPr>
      </w:pPr>
      <w:r>
        <w:rPr>
          <w:b/>
          <w:bCs/>
          <w:szCs w:val="24"/>
        </w:rPr>
        <w:t>WHEREAS</w:t>
      </w:r>
      <w:r>
        <w:rPr>
          <w:szCs w:val="24"/>
        </w:rPr>
        <w:t>, in light of that proposed Intake-related work, the Agency staff and its environmental consultant prepared the RD 2035/WDCWA Joint Intake and Fish Screen Initial Study Addendum No. 3 dated March 2020 (“Addendum No. 3”) to evaluate whether the erosion control work as described in Addendum No. 3 (the “Work”) may result in new significant impacts beyond those already identified and mitigated in the IS/EA or substantially more severe impacts than disclosed in the IS/EA; and</w:t>
      </w:r>
    </w:p>
    <w:p w:rsidR="00A1772C" w:rsidRDefault="00736EF3">
      <w:pPr>
        <w:rPr>
          <w:b/>
          <w:bCs/>
          <w:szCs w:val="24"/>
        </w:rPr>
      </w:pPr>
      <w:r>
        <w:rPr>
          <w:b/>
          <w:bCs/>
          <w:szCs w:val="24"/>
        </w:rPr>
        <w:t>\\\</w:t>
      </w:r>
    </w:p>
    <w:p w:rsidR="00736EF3" w:rsidRDefault="00736EF3">
      <w:pPr>
        <w:rPr>
          <w:b/>
          <w:bCs/>
          <w:szCs w:val="24"/>
        </w:rPr>
      </w:pPr>
      <w:r>
        <w:rPr>
          <w:b/>
          <w:bCs/>
          <w:szCs w:val="24"/>
        </w:rPr>
        <w:t>\\\</w:t>
      </w:r>
    </w:p>
    <w:p w:rsidR="00736EF3" w:rsidRDefault="00736EF3">
      <w:pPr>
        <w:rPr>
          <w:b/>
          <w:bCs/>
          <w:szCs w:val="24"/>
        </w:rPr>
      </w:pPr>
      <w:r>
        <w:rPr>
          <w:b/>
          <w:bCs/>
          <w:szCs w:val="24"/>
        </w:rPr>
        <w:t>\\\</w:t>
      </w:r>
    </w:p>
    <w:p w:rsidR="00736EF3" w:rsidRDefault="00736EF3">
      <w:pPr>
        <w:rPr>
          <w:b/>
          <w:bCs/>
          <w:szCs w:val="24"/>
        </w:rPr>
      </w:pPr>
      <w:r>
        <w:rPr>
          <w:b/>
          <w:bCs/>
          <w:szCs w:val="24"/>
        </w:rPr>
        <w:t>\\\</w:t>
      </w:r>
    </w:p>
    <w:p w:rsidR="00736EF3" w:rsidRDefault="00736EF3">
      <w:pPr>
        <w:rPr>
          <w:b/>
          <w:bCs/>
          <w:szCs w:val="24"/>
        </w:rPr>
      </w:pPr>
      <w:r>
        <w:rPr>
          <w:b/>
          <w:bCs/>
          <w:szCs w:val="24"/>
        </w:rPr>
        <w:t>\\\</w:t>
      </w:r>
    </w:p>
    <w:p w:rsidR="00736EF3" w:rsidRDefault="00736EF3">
      <w:pPr>
        <w:rPr>
          <w:b/>
          <w:bCs/>
          <w:szCs w:val="24"/>
        </w:rPr>
      </w:pPr>
      <w:r>
        <w:rPr>
          <w:b/>
          <w:bCs/>
          <w:szCs w:val="24"/>
        </w:rPr>
        <w:t>\\\</w:t>
      </w:r>
    </w:p>
    <w:p w:rsidR="004C5E0C" w:rsidRDefault="004248CD" w:rsidP="008D408C">
      <w:pPr>
        <w:spacing w:after="240"/>
        <w:ind w:firstLine="720"/>
        <w:rPr>
          <w:szCs w:val="24"/>
        </w:rPr>
      </w:pPr>
      <w:r>
        <w:rPr>
          <w:b/>
          <w:bCs/>
          <w:szCs w:val="24"/>
        </w:rPr>
        <w:t>WHEREAS</w:t>
      </w:r>
      <w:r>
        <w:rPr>
          <w:szCs w:val="24"/>
        </w:rPr>
        <w:t>, Addendum No. 3 concludes that the Work will not result in any new or more severe impacts than those discussed in the IS/EA and that none of the conditions or circumstances that would require preparation of a subsequent or supplemental CEQA document pursuant to Public Resources Code section 21166 and CEQA Guidelines section 15162 exists for the proposed Work.</w:t>
      </w:r>
    </w:p>
    <w:p w:rsidR="004C5E0C" w:rsidRDefault="000A4215" w:rsidP="00E66FAB">
      <w:pPr>
        <w:spacing w:after="240"/>
        <w:ind w:firstLine="720"/>
        <w:rPr>
          <w:szCs w:val="24"/>
        </w:rPr>
      </w:pPr>
      <w:r w:rsidRPr="00966EB7">
        <w:rPr>
          <w:b/>
          <w:szCs w:val="24"/>
        </w:rPr>
        <w:t>NOW, THEREFORE, BE IT RESOLVED</w:t>
      </w:r>
      <w:r w:rsidR="00E76AB0">
        <w:rPr>
          <w:b/>
          <w:szCs w:val="24"/>
        </w:rPr>
        <w:t xml:space="preserve"> </w:t>
      </w:r>
      <w:r w:rsidR="00E76AB0">
        <w:rPr>
          <w:bCs/>
          <w:szCs w:val="24"/>
        </w:rPr>
        <w:t xml:space="preserve">by the Board of </w:t>
      </w:r>
      <w:r w:rsidR="00A1772C">
        <w:rPr>
          <w:bCs/>
          <w:szCs w:val="24"/>
        </w:rPr>
        <w:t>Trustees</w:t>
      </w:r>
      <w:r w:rsidR="00E76AB0">
        <w:rPr>
          <w:bCs/>
          <w:szCs w:val="24"/>
        </w:rPr>
        <w:t xml:space="preserve"> of RD 2035 (“Board”) as follows:</w:t>
      </w:r>
    </w:p>
    <w:p w:rsidR="00420008" w:rsidRDefault="008D408C" w:rsidP="00E66FAB">
      <w:pPr>
        <w:spacing w:after="240"/>
        <w:ind w:firstLine="720"/>
        <w:rPr>
          <w:szCs w:val="24"/>
        </w:rPr>
      </w:pPr>
      <w:r>
        <w:rPr>
          <w:szCs w:val="24"/>
        </w:rPr>
        <w:t>1.</w:t>
      </w:r>
      <w:r w:rsidR="00420008">
        <w:rPr>
          <w:szCs w:val="24"/>
        </w:rPr>
        <w:tab/>
      </w:r>
      <w:r>
        <w:rPr>
          <w:szCs w:val="24"/>
        </w:rPr>
        <w:t xml:space="preserve">The Board </w:t>
      </w:r>
      <w:r w:rsidR="00420008">
        <w:rPr>
          <w:szCs w:val="24"/>
        </w:rPr>
        <w:t>approves Addendum No. 3 in the form presented at this meeting.</w:t>
      </w:r>
    </w:p>
    <w:p w:rsidR="00420008" w:rsidRDefault="00420008" w:rsidP="00E66FAB">
      <w:pPr>
        <w:spacing w:after="240"/>
        <w:ind w:firstLine="720"/>
        <w:rPr>
          <w:szCs w:val="24"/>
        </w:rPr>
      </w:pPr>
      <w:r>
        <w:rPr>
          <w:szCs w:val="24"/>
        </w:rPr>
        <w:t>2.</w:t>
      </w:r>
      <w:r>
        <w:rPr>
          <w:szCs w:val="24"/>
        </w:rPr>
        <w:tab/>
        <w:t>The Board has reviewed and considered Addendum No. 3 in light of the previously approved IS/EA.</w:t>
      </w:r>
    </w:p>
    <w:p w:rsidR="00420008" w:rsidRDefault="00420008" w:rsidP="00E66FAB">
      <w:pPr>
        <w:spacing w:after="240"/>
        <w:ind w:firstLine="720"/>
        <w:rPr>
          <w:szCs w:val="24"/>
        </w:rPr>
      </w:pPr>
      <w:r>
        <w:rPr>
          <w:szCs w:val="24"/>
        </w:rPr>
        <w:t>3.</w:t>
      </w:r>
      <w:r>
        <w:rPr>
          <w:szCs w:val="24"/>
        </w:rPr>
        <w:tab/>
        <w:t>In accordance with Public Resources Code section 21166 and CEQA Guidelines section 15162, and based on the IS/EA and Addendum No. 3, the Board finds and determines as follows:</w:t>
      </w:r>
    </w:p>
    <w:p w:rsidR="00420008" w:rsidRDefault="00420008" w:rsidP="00420008">
      <w:pPr>
        <w:spacing w:after="240"/>
        <w:ind w:left="720" w:firstLine="720"/>
        <w:rPr>
          <w:szCs w:val="24"/>
        </w:rPr>
      </w:pPr>
      <w:r>
        <w:rPr>
          <w:szCs w:val="24"/>
        </w:rPr>
        <w:t>a.</w:t>
      </w:r>
      <w:r>
        <w:rPr>
          <w:szCs w:val="24"/>
        </w:rPr>
        <w:tab/>
        <w:t>The potential environmental effects of the Intake have been analyzed, considered and mitigated through the IS/EA.</w:t>
      </w:r>
    </w:p>
    <w:p w:rsidR="00420008" w:rsidRDefault="00420008" w:rsidP="00420008">
      <w:pPr>
        <w:spacing w:after="240"/>
        <w:ind w:left="720" w:firstLine="720"/>
        <w:rPr>
          <w:szCs w:val="24"/>
        </w:rPr>
      </w:pPr>
      <w:r>
        <w:rPr>
          <w:szCs w:val="24"/>
        </w:rPr>
        <w:t>b.</w:t>
      </w:r>
      <w:r>
        <w:rPr>
          <w:szCs w:val="24"/>
        </w:rPr>
        <w:tab/>
        <w:t xml:space="preserve">Addendum No. 3 evaluates and </w:t>
      </w:r>
      <w:r w:rsidR="008D408C">
        <w:rPr>
          <w:szCs w:val="24"/>
        </w:rPr>
        <w:t>consider</w:t>
      </w:r>
      <w:r>
        <w:rPr>
          <w:szCs w:val="24"/>
        </w:rPr>
        <w:t>s the Work and its potential environmental effects. Addendum No. 3 concludes that the Work does not involve new significant effects or a substantial increase in the severity of previously identified significant effects.</w:t>
      </w:r>
    </w:p>
    <w:p w:rsidR="00420008" w:rsidRDefault="00420008" w:rsidP="00420008">
      <w:pPr>
        <w:spacing w:after="240"/>
        <w:ind w:left="720" w:firstLine="720"/>
        <w:rPr>
          <w:szCs w:val="24"/>
        </w:rPr>
      </w:pPr>
      <w:r>
        <w:rPr>
          <w:szCs w:val="24"/>
        </w:rPr>
        <w:t>c.</w:t>
      </w:r>
      <w:r>
        <w:rPr>
          <w:szCs w:val="24"/>
        </w:rPr>
        <w:tab/>
        <w:t>The Board is not aware of any other new information of substantial importance that discloses that the Work will have other or more severe significant environmental effects not previously discussed or that previously rejected or other mitigation measures or alternatives are now feasible and effective.</w:t>
      </w:r>
    </w:p>
    <w:p w:rsidR="00420008" w:rsidRDefault="00420008" w:rsidP="00420008">
      <w:pPr>
        <w:spacing w:after="240"/>
        <w:ind w:left="720" w:firstLine="720"/>
        <w:rPr>
          <w:szCs w:val="24"/>
        </w:rPr>
      </w:pPr>
      <w:r>
        <w:rPr>
          <w:szCs w:val="24"/>
        </w:rPr>
        <w:t>d.</w:t>
      </w:r>
      <w:r>
        <w:rPr>
          <w:szCs w:val="24"/>
        </w:rPr>
        <w:tab/>
        <w:t>Therefore, the US/EA remains adequate and no subsequent or further CEQA analysis is required for the Intake or the Work.</w:t>
      </w:r>
    </w:p>
    <w:p w:rsidR="00420008" w:rsidRDefault="00420008" w:rsidP="00420008">
      <w:pPr>
        <w:spacing w:after="240"/>
        <w:ind w:firstLine="720"/>
        <w:rPr>
          <w:szCs w:val="24"/>
        </w:rPr>
      </w:pPr>
      <w:r>
        <w:rPr>
          <w:szCs w:val="24"/>
        </w:rPr>
        <w:t>4.</w:t>
      </w:r>
      <w:r>
        <w:rPr>
          <w:szCs w:val="24"/>
        </w:rPr>
        <w:tab/>
        <w:t>The Board approves the Work and authorizes and directs the General Manager to award, approve, and sign a contract for the performance of the Work, subject to the Agency payment of its 20% share of costs of the Work.</w:t>
      </w:r>
    </w:p>
    <w:p w:rsidR="00736EF3" w:rsidRDefault="00736EF3" w:rsidP="00736EF3">
      <w:pPr>
        <w:spacing w:after="240"/>
        <w:rPr>
          <w:szCs w:val="24"/>
        </w:rPr>
      </w:pPr>
      <w:r>
        <w:rPr>
          <w:b/>
          <w:bCs/>
          <w:szCs w:val="24"/>
        </w:rPr>
        <w:t>\\\</w:t>
      </w:r>
    </w:p>
    <w:p w:rsidR="00736EF3" w:rsidRDefault="00736EF3" w:rsidP="00736EF3">
      <w:pPr>
        <w:spacing w:after="240"/>
        <w:rPr>
          <w:szCs w:val="24"/>
        </w:rPr>
      </w:pPr>
      <w:r>
        <w:rPr>
          <w:b/>
          <w:bCs/>
          <w:szCs w:val="24"/>
        </w:rPr>
        <w:t>\\\</w:t>
      </w:r>
    </w:p>
    <w:p w:rsidR="00736EF3" w:rsidRDefault="00736EF3" w:rsidP="00736EF3">
      <w:pPr>
        <w:spacing w:after="240"/>
        <w:rPr>
          <w:szCs w:val="24"/>
        </w:rPr>
      </w:pPr>
      <w:r>
        <w:rPr>
          <w:b/>
          <w:bCs/>
          <w:szCs w:val="24"/>
        </w:rPr>
        <w:t>\\\</w:t>
      </w:r>
    </w:p>
    <w:p w:rsidR="00736EF3" w:rsidRDefault="00736EF3" w:rsidP="00736EF3">
      <w:pPr>
        <w:spacing w:after="240"/>
        <w:rPr>
          <w:szCs w:val="24"/>
        </w:rPr>
      </w:pPr>
      <w:r>
        <w:rPr>
          <w:b/>
          <w:bCs/>
          <w:szCs w:val="24"/>
        </w:rPr>
        <w:t>\\\</w:t>
      </w:r>
    </w:p>
    <w:p w:rsidR="00736EF3" w:rsidRDefault="00736EF3" w:rsidP="00736EF3">
      <w:pPr>
        <w:spacing w:after="240"/>
        <w:rPr>
          <w:szCs w:val="24"/>
        </w:rPr>
      </w:pPr>
      <w:r>
        <w:rPr>
          <w:b/>
          <w:bCs/>
          <w:szCs w:val="24"/>
        </w:rPr>
        <w:t>\\\</w:t>
      </w:r>
    </w:p>
    <w:p w:rsidR="000A4215" w:rsidRDefault="00420008" w:rsidP="00E66FAB">
      <w:pPr>
        <w:spacing w:after="240"/>
        <w:ind w:firstLine="720"/>
        <w:rPr>
          <w:szCs w:val="24"/>
        </w:rPr>
      </w:pPr>
      <w:r>
        <w:rPr>
          <w:szCs w:val="24"/>
        </w:rPr>
        <w:t>5.</w:t>
      </w:r>
      <w:r>
        <w:rPr>
          <w:szCs w:val="24"/>
        </w:rPr>
        <w:tab/>
        <w:t>The Board authorizes and directs the General Manager to prepare and file a CEQA Notice of Determination reflecting this determination.</w:t>
      </w:r>
    </w:p>
    <w:p w:rsidR="001E4DB2" w:rsidRDefault="00867D36" w:rsidP="00867D36">
      <w:pPr>
        <w:pStyle w:val="BodyText"/>
        <w:spacing w:before="120" w:line="320" w:lineRule="atLeast"/>
        <w:ind w:left="0"/>
        <w:rPr>
          <w:rFonts w:cs="Times New Roman"/>
        </w:rPr>
      </w:pPr>
      <w:r w:rsidRPr="0016760E">
        <w:rPr>
          <w:rFonts w:cs="Times New Roman"/>
          <w:b/>
        </w:rPr>
        <w:t>ADOPTED</w:t>
      </w:r>
      <w:r w:rsidRPr="0016760E">
        <w:rPr>
          <w:rFonts w:cs="Times New Roman"/>
        </w:rPr>
        <w:t xml:space="preserve"> as a resolution of the Board of Trustees of Reclamation District No. </w:t>
      </w:r>
      <w:r>
        <w:rPr>
          <w:rFonts w:cs="Times New Roman"/>
        </w:rPr>
        <w:t>2035</w:t>
      </w:r>
      <w:r w:rsidRPr="0016760E">
        <w:rPr>
          <w:rFonts w:cs="Times New Roman"/>
        </w:rPr>
        <w:t xml:space="preserve"> </w:t>
      </w:r>
      <w:r w:rsidRPr="00867D36">
        <w:rPr>
          <w:rFonts w:cs="Times New Roman"/>
        </w:rPr>
        <w:t xml:space="preserve">on </w:t>
      </w:r>
      <w:r w:rsidR="00420008">
        <w:rPr>
          <w:rFonts w:cs="Times New Roman"/>
        </w:rPr>
        <w:t>September</w:t>
      </w:r>
      <w:r w:rsidR="00966EB7">
        <w:rPr>
          <w:rFonts w:cs="Times New Roman"/>
        </w:rPr>
        <w:t xml:space="preserve"> </w:t>
      </w:r>
      <w:r w:rsidR="00420008">
        <w:rPr>
          <w:rFonts w:cs="Times New Roman"/>
        </w:rPr>
        <w:t>26</w:t>
      </w:r>
      <w:r w:rsidRPr="00867D36">
        <w:rPr>
          <w:rFonts w:cs="Times New Roman"/>
        </w:rPr>
        <w:t>, 20</w:t>
      </w:r>
      <w:r w:rsidR="008D408C">
        <w:rPr>
          <w:rFonts w:cs="Times New Roman"/>
        </w:rPr>
        <w:t>2</w:t>
      </w:r>
      <w:r w:rsidR="00420008">
        <w:rPr>
          <w:rFonts w:cs="Times New Roman"/>
        </w:rPr>
        <w:t>4</w:t>
      </w:r>
    </w:p>
    <w:p w:rsidR="00867D36" w:rsidRDefault="001E4DB2" w:rsidP="00867D36">
      <w:pPr>
        <w:pStyle w:val="BodyText"/>
        <w:spacing w:before="120" w:line="320" w:lineRule="atLeast"/>
        <w:ind w:left="0"/>
        <w:rPr>
          <w:rFonts w:cs="Times New Roman"/>
        </w:rPr>
      </w:pPr>
      <w:r>
        <w:rPr>
          <w:rFonts w:cs="Times New Roman"/>
        </w:rPr>
        <w:t>AYES:</w:t>
      </w:r>
      <w:r>
        <w:rPr>
          <w:rFonts w:cs="Times New Roman"/>
        </w:rPr>
        <w:tab/>
      </w:r>
      <w:r>
        <w:rPr>
          <w:rFonts w:cs="Times New Roman"/>
        </w:rPr>
        <w:tab/>
        <w:t>____</w:t>
      </w:r>
    </w:p>
    <w:p w:rsidR="001E4DB2" w:rsidRDefault="001E4DB2" w:rsidP="00867D36">
      <w:pPr>
        <w:pStyle w:val="BodyText"/>
        <w:spacing w:before="120" w:line="320" w:lineRule="atLeast"/>
        <w:ind w:left="0"/>
        <w:rPr>
          <w:rFonts w:cs="Times New Roman"/>
        </w:rPr>
      </w:pPr>
      <w:r>
        <w:rPr>
          <w:rFonts w:cs="Times New Roman"/>
        </w:rPr>
        <w:t>NOES:</w:t>
      </w:r>
      <w:r>
        <w:rPr>
          <w:rFonts w:cs="Times New Roman"/>
        </w:rPr>
        <w:tab/>
      </w:r>
      <w:r>
        <w:rPr>
          <w:rFonts w:cs="Times New Roman"/>
        </w:rPr>
        <w:tab/>
        <w:t>____</w:t>
      </w:r>
    </w:p>
    <w:p w:rsidR="001E4DB2" w:rsidRDefault="001E4DB2" w:rsidP="00867D36">
      <w:pPr>
        <w:pStyle w:val="BodyText"/>
        <w:spacing w:before="120" w:line="320" w:lineRule="atLeast"/>
        <w:ind w:left="0"/>
        <w:rPr>
          <w:rFonts w:cs="Times New Roman"/>
        </w:rPr>
      </w:pPr>
      <w:r>
        <w:rPr>
          <w:rFonts w:cs="Times New Roman"/>
        </w:rPr>
        <w:t>ABSTAIN:</w:t>
      </w:r>
      <w:r>
        <w:rPr>
          <w:rFonts w:cs="Times New Roman"/>
        </w:rPr>
        <w:tab/>
        <w:t>____</w:t>
      </w:r>
    </w:p>
    <w:p w:rsidR="001E4DB2" w:rsidRDefault="001E4DB2" w:rsidP="00867D36">
      <w:pPr>
        <w:pStyle w:val="BodyText"/>
        <w:spacing w:before="120" w:line="320" w:lineRule="atLeast"/>
        <w:ind w:left="0"/>
        <w:rPr>
          <w:rFonts w:cs="Times New Roman"/>
        </w:rPr>
      </w:pPr>
      <w:r>
        <w:rPr>
          <w:rFonts w:cs="Times New Roman"/>
        </w:rPr>
        <w:t>ABSENT:</w:t>
      </w:r>
      <w:r>
        <w:rPr>
          <w:rFonts w:cs="Times New Roman"/>
        </w:rPr>
        <w:tab/>
        <w:t>____</w:t>
      </w:r>
    </w:p>
    <w:p w:rsidR="00867D36" w:rsidRPr="0016760E" w:rsidRDefault="00867D36" w:rsidP="00867D36">
      <w:pPr>
        <w:pStyle w:val="BodyText"/>
        <w:spacing w:before="120" w:line="320" w:lineRule="atLeast"/>
        <w:ind w:left="0"/>
        <w:rPr>
          <w:rFonts w:cs="Times New Roman"/>
        </w:rPr>
      </w:pPr>
    </w:p>
    <w:p w:rsidR="00867D36" w:rsidRPr="0016760E" w:rsidRDefault="00867D36" w:rsidP="00867D36">
      <w:pPr>
        <w:spacing w:before="120" w:line="320" w:lineRule="atLeast"/>
        <w:ind w:left="120" w:right="-720"/>
        <w:rPr>
          <w:szCs w:val="24"/>
        </w:rPr>
      </w:pPr>
    </w:p>
    <w:p w:rsidR="00867D36" w:rsidRPr="0016760E" w:rsidRDefault="001E4DB2" w:rsidP="00867D36">
      <w:pPr>
        <w:ind w:left="120"/>
        <w:rPr>
          <w:szCs w:val="24"/>
        </w:rPr>
      </w:pPr>
      <w:r>
        <w:rPr>
          <w:szCs w:val="24"/>
        </w:rPr>
        <w:t>By:</w:t>
      </w:r>
      <w:r w:rsidR="00867D36" w:rsidRPr="0016760E">
        <w:rPr>
          <w:szCs w:val="24"/>
        </w:rPr>
        <w:t>____________________________</w:t>
      </w:r>
    </w:p>
    <w:p w:rsidR="00867D36" w:rsidRPr="0016760E" w:rsidRDefault="001E4DB2" w:rsidP="00867D36">
      <w:pPr>
        <w:ind w:left="120"/>
        <w:rPr>
          <w:szCs w:val="24"/>
        </w:rPr>
      </w:pPr>
      <w:r>
        <w:rPr>
          <w:szCs w:val="24"/>
        </w:rPr>
        <w:tab/>
      </w:r>
      <w:r>
        <w:rPr>
          <w:szCs w:val="24"/>
        </w:rPr>
        <w:tab/>
      </w:r>
      <w:r w:rsidR="00867D36" w:rsidRPr="0016760E">
        <w:rPr>
          <w:szCs w:val="24"/>
        </w:rPr>
        <w:t>President</w:t>
      </w:r>
    </w:p>
    <w:p w:rsidR="00867D36" w:rsidRPr="0016760E" w:rsidRDefault="00867D36" w:rsidP="00867D36">
      <w:pPr>
        <w:ind w:left="120"/>
        <w:rPr>
          <w:szCs w:val="24"/>
        </w:rPr>
      </w:pPr>
    </w:p>
    <w:p w:rsidR="00867D36" w:rsidRPr="0016760E" w:rsidRDefault="00867D36" w:rsidP="00867D36">
      <w:pPr>
        <w:ind w:left="120"/>
        <w:rPr>
          <w:szCs w:val="24"/>
        </w:rPr>
      </w:pPr>
    </w:p>
    <w:p w:rsidR="00867D36" w:rsidRPr="0016760E" w:rsidRDefault="001E4DB2" w:rsidP="00867D36">
      <w:pPr>
        <w:ind w:left="120"/>
        <w:rPr>
          <w:szCs w:val="24"/>
        </w:rPr>
      </w:pPr>
      <w:r>
        <w:rPr>
          <w:szCs w:val="24"/>
        </w:rPr>
        <w:t xml:space="preserve">Attest: </w:t>
      </w:r>
      <w:r w:rsidR="00867D36" w:rsidRPr="0016760E">
        <w:rPr>
          <w:szCs w:val="24"/>
        </w:rPr>
        <w:t>____________________________</w:t>
      </w:r>
    </w:p>
    <w:p w:rsidR="00867D36" w:rsidRPr="0016760E" w:rsidRDefault="001E4DB2" w:rsidP="00867D36">
      <w:pPr>
        <w:ind w:left="120"/>
        <w:rPr>
          <w:szCs w:val="24"/>
        </w:rPr>
      </w:pPr>
      <w:r>
        <w:rPr>
          <w:szCs w:val="24"/>
        </w:rPr>
        <w:tab/>
      </w:r>
      <w:r>
        <w:rPr>
          <w:szCs w:val="24"/>
        </w:rPr>
        <w:tab/>
      </w:r>
      <w:r w:rsidR="00867D36" w:rsidRPr="0016760E">
        <w:rPr>
          <w:szCs w:val="24"/>
        </w:rPr>
        <w:t>Secretary</w:t>
      </w:r>
    </w:p>
    <w:p w:rsidR="00867D36" w:rsidRPr="00EA4282" w:rsidRDefault="00867D36" w:rsidP="00EA4282">
      <w:pPr>
        <w:spacing w:after="240"/>
        <w:rPr>
          <w:szCs w:val="24"/>
        </w:rPr>
      </w:pPr>
    </w:p>
    <w:sectPr w:rsidR="00867D36" w:rsidRPr="00EA4282" w:rsidSect="006C0363">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440"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74B9B" w:rsidRDefault="00574B9B" w:rsidP="0051351C">
      <w:r>
        <w:separator/>
      </w:r>
    </w:p>
  </w:endnote>
  <w:endnote w:type="continuationSeparator" w:id="0">
    <w:p w:rsidR="00574B9B" w:rsidRDefault="00574B9B" w:rsidP="00513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538E" w:rsidRDefault="003E53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351C" w:rsidRPr="0051351C" w:rsidRDefault="003E538E" w:rsidP="0051351C">
    <w:pPr>
      <w:pStyle w:val="Footer"/>
    </w:pPr>
    <w:r w:rsidRPr="003E538E">
      <w:rPr>
        <w:noProof/>
        <w:spacing w:val="-2"/>
        <w:sz w:val="16"/>
      </w:rPr>
      <w:t>4895-5559-7799.2 009701.003</w:t>
    </w:r>
    <w:r w:rsidR="004E1678" w:rsidRPr="004E1678">
      <w:t xml:space="preserve"> </w:t>
    </w:r>
    <w:r w:rsidR="0051351C">
      <w:tab/>
    </w:r>
    <w:r w:rsidR="000A4215">
      <w:fldChar w:fldCharType="begin"/>
    </w:r>
    <w:r w:rsidR="000A4215">
      <w:instrText xml:space="preserve"> PAGE   \* MERGEFORMAT </w:instrText>
    </w:r>
    <w:r w:rsidR="000A4215">
      <w:fldChar w:fldCharType="separate"/>
    </w:r>
    <w:r w:rsidR="00803244">
      <w:rPr>
        <w:noProof/>
      </w:rPr>
      <w:t>2</w:t>
    </w:r>
    <w:r w:rsidR="000A421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A4215" w:rsidRPr="000A4215" w:rsidRDefault="000A4215" w:rsidP="000A4215">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74B9B" w:rsidRDefault="00574B9B" w:rsidP="0051351C">
      <w:pPr>
        <w:rPr>
          <w:noProof/>
        </w:rPr>
      </w:pPr>
      <w:r>
        <w:rPr>
          <w:noProof/>
        </w:rPr>
        <w:separator/>
      </w:r>
    </w:p>
  </w:footnote>
  <w:footnote w:type="continuationSeparator" w:id="0">
    <w:p w:rsidR="00574B9B" w:rsidRDefault="00574B9B" w:rsidP="00513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538E" w:rsidRDefault="003E53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538E" w:rsidRDefault="003E53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538E" w:rsidRDefault="003E53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B6298"/>
    <w:multiLevelType w:val="hybridMultilevel"/>
    <w:tmpl w:val="D67497BA"/>
    <w:lvl w:ilvl="0" w:tplc="9FF28F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75550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roofState w:spelling="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SDocDescription" w:val="2024-09-20 DRAFT Resolution 2024-X Resolution adopting NOD for Sacramento Joint Intake Erosion Control Project.docx"/>
  </w:docVars>
  <w:rsids>
    <w:rsidRoot w:val="0051351C"/>
    <w:rsid w:val="000A4215"/>
    <w:rsid w:val="001356F1"/>
    <w:rsid w:val="001E4DB2"/>
    <w:rsid w:val="00232672"/>
    <w:rsid w:val="002D3544"/>
    <w:rsid w:val="00305108"/>
    <w:rsid w:val="003117B3"/>
    <w:rsid w:val="00331565"/>
    <w:rsid w:val="0036599B"/>
    <w:rsid w:val="003E538E"/>
    <w:rsid w:val="00420008"/>
    <w:rsid w:val="004248CD"/>
    <w:rsid w:val="004C5E0C"/>
    <w:rsid w:val="004E1678"/>
    <w:rsid w:val="0051351C"/>
    <w:rsid w:val="00574B9B"/>
    <w:rsid w:val="00593CC8"/>
    <w:rsid w:val="0061559C"/>
    <w:rsid w:val="00683654"/>
    <w:rsid w:val="006C0363"/>
    <w:rsid w:val="00736EF3"/>
    <w:rsid w:val="00803244"/>
    <w:rsid w:val="00867D36"/>
    <w:rsid w:val="008C398A"/>
    <w:rsid w:val="008D408C"/>
    <w:rsid w:val="00966EB7"/>
    <w:rsid w:val="009E7812"/>
    <w:rsid w:val="00A1772C"/>
    <w:rsid w:val="00A653C2"/>
    <w:rsid w:val="00AB4F87"/>
    <w:rsid w:val="00B0556E"/>
    <w:rsid w:val="00B1072E"/>
    <w:rsid w:val="00C74E6B"/>
    <w:rsid w:val="00CC7AED"/>
    <w:rsid w:val="00E66FAB"/>
    <w:rsid w:val="00E72914"/>
    <w:rsid w:val="00E76AB0"/>
    <w:rsid w:val="00EA4282"/>
    <w:rsid w:val="00EE5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B13D9"/>
  <w15:chartTrackingRefBased/>
  <w15:docId w15:val="{514BF06A-2DAA-4274-923C-89E2E9B56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1351C"/>
    <w:pPr>
      <w:tabs>
        <w:tab w:val="center" w:pos="4680"/>
        <w:tab w:val="right" w:pos="9360"/>
      </w:tabs>
    </w:pPr>
  </w:style>
  <w:style w:type="character" w:customStyle="1" w:styleId="HeaderChar">
    <w:name w:val="Header Char"/>
    <w:basedOn w:val="DefaultParagraphFont"/>
    <w:link w:val="Header"/>
    <w:uiPriority w:val="99"/>
    <w:rsid w:val="0051351C"/>
  </w:style>
  <w:style w:type="paragraph" w:styleId="Footer">
    <w:name w:val="footer"/>
    <w:basedOn w:val="Normal"/>
    <w:link w:val="FooterChar"/>
    <w:uiPriority w:val="99"/>
    <w:unhideWhenUsed/>
    <w:rsid w:val="0051351C"/>
    <w:pPr>
      <w:tabs>
        <w:tab w:val="center" w:pos="4680"/>
        <w:tab w:val="right" w:pos="9360"/>
      </w:tabs>
    </w:pPr>
  </w:style>
  <w:style w:type="character" w:customStyle="1" w:styleId="FooterChar">
    <w:name w:val="Footer Char"/>
    <w:basedOn w:val="DefaultParagraphFont"/>
    <w:link w:val="Footer"/>
    <w:uiPriority w:val="99"/>
    <w:rsid w:val="0051351C"/>
  </w:style>
  <w:style w:type="paragraph" w:styleId="ListParagraph">
    <w:name w:val="List Paragraph"/>
    <w:basedOn w:val="Normal"/>
    <w:uiPriority w:val="34"/>
    <w:qFormat/>
    <w:rsid w:val="000A4215"/>
    <w:pPr>
      <w:ind w:left="720"/>
      <w:contextualSpacing/>
    </w:pPr>
  </w:style>
  <w:style w:type="character" w:styleId="CommentReference">
    <w:name w:val="annotation reference"/>
    <w:basedOn w:val="DefaultParagraphFont"/>
    <w:uiPriority w:val="99"/>
    <w:semiHidden/>
    <w:unhideWhenUsed/>
    <w:rsid w:val="0036599B"/>
    <w:rPr>
      <w:sz w:val="16"/>
      <w:szCs w:val="16"/>
    </w:rPr>
  </w:style>
  <w:style w:type="paragraph" w:styleId="CommentText">
    <w:name w:val="annotation text"/>
    <w:basedOn w:val="Normal"/>
    <w:link w:val="CommentTextChar"/>
    <w:uiPriority w:val="99"/>
    <w:semiHidden/>
    <w:unhideWhenUsed/>
    <w:rsid w:val="0036599B"/>
    <w:rPr>
      <w:sz w:val="20"/>
    </w:rPr>
  </w:style>
  <w:style w:type="character" w:customStyle="1" w:styleId="CommentTextChar">
    <w:name w:val="Comment Text Char"/>
    <w:basedOn w:val="DefaultParagraphFont"/>
    <w:link w:val="CommentText"/>
    <w:uiPriority w:val="99"/>
    <w:semiHidden/>
    <w:rsid w:val="0036599B"/>
    <w:rPr>
      <w:sz w:val="20"/>
    </w:rPr>
  </w:style>
  <w:style w:type="paragraph" w:styleId="CommentSubject">
    <w:name w:val="annotation subject"/>
    <w:basedOn w:val="CommentText"/>
    <w:next w:val="CommentText"/>
    <w:link w:val="CommentSubjectChar"/>
    <w:uiPriority w:val="99"/>
    <w:semiHidden/>
    <w:unhideWhenUsed/>
    <w:rsid w:val="0036599B"/>
    <w:rPr>
      <w:b/>
      <w:bCs/>
    </w:rPr>
  </w:style>
  <w:style w:type="character" w:customStyle="1" w:styleId="CommentSubjectChar">
    <w:name w:val="Comment Subject Char"/>
    <w:basedOn w:val="CommentTextChar"/>
    <w:link w:val="CommentSubject"/>
    <w:uiPriority w:val="99"/>
    <w:semiHidden/>
    <w:rsid w:val="0036599B"/>
    <w:rPr>
      <w:b/>
      <w:bCs/>
      <w:sz w:val="20"/>
    </w:rPr>
  </w:style>
  <w:style w:type="paragraph" w:styleId="BalloonText">
    <w:name w:val="Balloon Text"/>
    <w:basedOn w:val="Normal"/>
    <w:link w:val="BalloonTextChar"/>
    <w:uiPriority w:val="99"/>
    <w:semiHidden/>
    <w:unhideWhenUsed/>
    <w:rsid w:val="003659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99B"/>
    <w:rPr>
      <w:rFonts w:ascii="Segoe UI" w:hAnsi="Segoe UI" w:cs="Segoe UI"/>
      <w:sz w:val="18"/>
      <w:szCs w:val="18"/>
    </w:rPr>
  </w:style>
  <w:style w:type="paragraph" w:styleId="BodyText">
    <w:name w:val="Body Text"/>
    <w:basedOn w:val="Normal"/>
    <w:link w:val="BodyTextChar"/>
    <w:uiPriority w:val="1"/>
    <w:qFormat/>
    <w:rsid w:val="00867D36"/>
    <w:pPr>
      <w:widowControl w:val="0"/>
      <w:ind w:left="1160"/>
    </w:pPr>
    <w:rPr>
      <w:rFonts w:eastAsia="Times New Roman" w:cstheme="minorBidi"/>
      <w:szCs w:val="24"/>
    </w:rPr>
  </w:style>
  <w:style w:type="character" w:customStyle="1" w:styleId="BodyTextChar">
    <w:name w:val="Body Text Char"/>
    <w:basedOn w:val="DefaultParagraphFont"/>
    <w:link w:val="BodyText"/>
    <w:uiPriority w:val="1"/>
    <w:rsid w:val="00867D36"/>
    <w:rPr>
      <w:rFonts w:eastAsia="Times New Roman" w:cstheme="minorBidi"/>
      <w:szCs w:val="24"/>
    </w:rPr>
  </w:style>
  <w:style w:type="paragraph" w:styleId="Revision">
    <w:name w:val="Revision"/>
    <w:hidden/>
    <w:uiPriority w:val="99"/>
    <w:semiHidden/>
    <w:rsid w:val="00AB4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689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91345-D650-4085-AB4C-8C3201845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705</Words>
  <Characters>3824</Characters>
  <Application>Microsoft Office Word</Application>
  <DocSecurity>0</DocSecurity>
  <PresentationFormat/>
  <Lines>88</Lines>
  <Paragraphs>48</Paragraphs>
  <ScaleCrop>false</ScaleCrop>
  <HeadingPairs>
    <vt:vector size="2" baseType="variant">
      <vt:variant>
        <vt:lpstr>Title</vt:lpstr>
      </vt:variant>
      <vt:variant>
        <vt:i4>1</vt:i4>
      </vt:variant>
    </vt:vector>
  </HeadingPairs>
  <TitlesOfParts>
    <vt:vector size="1" baseType="lpstr">
      <vt:lpstr>Resolution 2016-____-Resolution Adopting Assessment (01019240).DOCX</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2016-____-Resolution Adopting Assessment (01019240).DOCX</dc:title>
  <dc:subject>01019240/font=7</dc:subject>
  <dc:creator>Teena Lambos</dc:creator>
  <cp:keywords/>
  <dc:description/>
  <cp:lastModifiedBy>Robinson, Eric</cp:lastModifiedBy>
  <cp:revision>2</cp:revision>
  <cp:lastPrinted>2016-05-18T18:23:00Z</cp:lastPrinted>
  <dcterms:created xsi:type="dcterms:W3CDTF">2024-09-20T18:47:00Z</dcterms:created>
  <dcterms:modified xsi:type="dcterms:W3CDTF">2024-09-20T19:01:00Z</dcterms:modified>
</cp:coreProperties>
</file>